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年全省供销社系统综合业绩考核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指标</w:t>
      </w:r>
      <w:bookmarkEnd w:id="0"/>
    </w:p>
    <w:p>
      <w:pPr>
        <w:spacing w:after="240" w:afterLines="100" w:line="520" w:lineRule="exact"/>
        <w:jc w:val="center"/>
        <w:rPr>
          <w:rFonts w:ascii="Times New Roman" w:hAnsi="Times New Roman" w:eastAsia="楷体_GB2312"/>
          <w:sz w:val="30"/>
          <w:szCs w:val="32"/>
        </w:rPr>
      </w:pPr>
      <w:r>
        <w:rPr>
          <w:rFonts w:hint="eastAsia" w:ascii="Times New Roman" w:hAnsi="Times New Roman" w:eastAsia="楷体_GB2312"/>
          <w:sz w:val="30"/>
          <w:szCs w:val="32"/>
        </w:rPr>
        <w:t>（</w:t>
      </w:r>
      <w:r>
        <w:rPr>
          <w:rFonts w:hint="eastAsia" w:ascii="Times New Roman" w:hAnsi="Times New Roman" w:eastAsia="楷体_GB2312"/>
          <w:sz w:val="30"/>
          <w:szCs w:val="32"/>
          <w:lang w:eastAsia="zh-CN"/>
        </w:rPr>
        <w:t>供销集团、省社属企业</w:t>
      </w:r>
      <w:r>
        <w:rPr>
          <w:rFonts w:hint="eastAsia" w:ascii="Times New Roman" w:hAnsi="Times New Roman" w:eastAsia="楷体_GB2312"/>
          <w:sz w:val="30"/>
          <w:szCs w:val="32"/>
        </w:rPr>
        <w:t>）</w:t>
      </w:r>
    </w:p>
    <w:tbl>
      <w:tblPr>
        <w:tblStyle w:val="2"/>
        <w:tblW w:w="93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51"/>
        <w:gridCol w:w="4157"/>
        <w:gridCol w:w="1667"/>
        <w:gridCol w:w="1017"/>
        <w:gridCol w:w="1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指标来源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kern w:val="0"/>
                <w:sz w:val="22"/>
                <w:lang w:val="en-US" w:eastAsia="zh-CN"/>
              </w:rPr>
              <w:t>80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销售总额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统计指标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亿元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销售总额增长率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统计指标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利润总额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万元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利润总额增长率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12分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资产总额增长率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所有者权益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万元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所有者权益增长率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社有企业发展指标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净资产收益率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7分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销售净利率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总资产周转率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财务指标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次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  <w:lang w:val="en-US" w:eastAsia="zh-CN"/>
              </w:rPr>
              <w:t>4分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91593"/>
    <w:rsid w:val="213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2020-03-11T07:02:00Z</dcterms:created>
  <dc:creator>可可西里药贩</dc:creator>
  <cp:lastModifiedBy>可可西里药贩</cp:lastModifiedBy>
  <dcterms:modified xsi:type="dcterms:W3CDTF">2020-03-11T07:05:21Z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