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青海</w:t>
      </w:r>
      <w:r>
        <w:rPr>
          <w:rFonts w:hint="eastAsia" w:ascii="方正小标宋简体" w:hAnsi="方正小标宋简体" w:eastAsia="方正小标宋简体" w:cs="方正小标宋简体"/>
          <w:sz w:val="36"/>
          <w:szCs w:val="36"/>
        </w:rPr>
        <w:t>省</w:t>
      </w:r>
      <w:r>
        <w:rPr>
          <w:rFonts w:hint="eastAsia" w:ascii="方正小标宋简体" w:hAnsi="方正小标宋简体" w:eastAsia="方正小标宋简体" w:cs="方正小标宋简体"/>
          <w:sz w:val="36"/>
          <w:szCs w:val="36"/>
          <w:lang w:eastAsia="zh-CN"/>
        </w:rPr>
        <w:t>供销合作</w:t>
      </w:r>
      <w:r>
        <w:rPr>
          <w:rFonts w:hint="eastAsia" w:ascii="方正小标宋简体" w:hAnsi="方正小标宋简体" w:eastAsia="方正小标宋简体" w:cs="方正小标宋简体"/>
          <w:sz w:val="36"/>
          <w:szCs w:val="36"/>
        </w:rPr>
        <w:t>社</w:t>
      </w:r>
      <w:r>
        <w:rPr>
          <w:rFonts w:hint="eastAsia" w:ascii="方正小标宋简体" w:hAnsi="方正小标宋简体" w:eastAsia="方正小标宋简体" w:cs="方正小标宋简体"/>
          <w:sz w:val="36"/>
          <w:szCs w:val="36"/>
          <w:lang w:val="en-US" w:eastAsia="zh-CN"/>
        </w:rPr>
        <w:t>2020</w:t>
      </w:r>
      <w:r>
        <w:rPr>
          <w:rFonts w:hint="eastAsia" w:ascii="方正小标宋简体" w:hAnsi="方正小标宋简体" w:eastAsia="方正小标宋简体" w:cs="方正小标宋简体"/>
          <w:sz w:val="36"/>
          <w:szCs w:val="36"/>
        </w:rPr>
        <w:t>年综合业绩考核</w:t>
      </w:r>
      <w:r>
        <w:rPr>
          <w:rFonts w:hint="eastAsia" w:ascii="方正小标宋简体" w:hAnsi="方正小标宋简体" w:eastAsia="方正小标宋简体" w:cs="方正小标宋简体"/>
          <w:sz w:val="36"/>
          <w:szCs w:val="36"/>
          <w:lang w:eastAsia="zh-CN"/>
        </w:rPr>
        <w:t>评分细则</w:t>
      </w:r>
    </w:p>
    <w:tbl>
      <w:tblPr>
        <w:tblStyle w:val="3"/>
        <w:tblW w:w="15450" w:type="dxa"/>
        <w:tblInd w:w="0" w:type="dxa"/>
        <w:shd w:val="clear" w:color="auto" w:fill="auto"/>
        <w:tblLayout w:type="fixed"/>
        <w:tblCellMar>
          <w:top w:w="0" w:type="dxa"/>
          <w:left w:w="0" w:type="dxa"/>
          <w:bottom w:w="0" w:type="dxa"/>
          <w:right w:w="0" w:type="dxa"/>
        </w:tblCellMar>
      </w:tblPr>
      <w:tblGrid>
        <w:gridCol w:w="573"/>
        <w:gridCol w:w="360"/>
        <w:gridCol w:w="1053"/>
        <w:gridCol w:w="1906"/>
        <w:gridCol w:w="1226"/>
        <w:gridCol w:w="933"/>
        <w:gridCol w:w="653"/>
        <w:gridCol w:w="5693"/>
        <w:gridCol w:w="973"/>
        <w:gridCol w:w="2080"/>
      </w:tblGrid>
      <w:tr>
        <w:tblPrEx>
          <w:shd w:val="clear" w:color="auto" w:fill="auto"/>
          <w:tblLayout w:type="fixed"/>
          <w:tblCellMar>
            <w:top w:w="0" w:type="dxa"/>
            <w:left w:w="0" w:type="dxa"/>
            <w:bottom w:w="0" w:type="dxa"/>
            <w:right w:w="0" w:type="dxa"/>
          </w:tblCellMar>
        </w:tblPrEx>
        <w:trPr>
          <w:trHeight w:val="5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类别</w:t>
            </w: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指标名称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指标来源</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最高分</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计分规则</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说明</w:t>
            </w:r>
          </w:p>
        </w:tc>
      </w:tr>
      <w:tr>
        <w:tblPrEx>
          <w:tblLayout w:type="fixed"/>
          <w:tblCellMar>
            <w:top w:w="0" w:type="dxa"/>
            <w:left w:w="0" w:type="dxa"/>
            <w:bottom w:w="0" w:type="dxa"/>
            <w:right w:w="0" w:type="dxa"/>
          </w:tblCellMar>
        </w:tblPrEx>
        <w:trPr>
          <w:trHeight w:val="720"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Style w:val="4"/>
                <w:rFonts w:hAnsi="宋体"/>
                <w:lang w:val="en-US" w:eastAsia="zh-CN" w:bidi="ar"/>
              </w:rPr>
              <w:t>主要经济发展指标</w:t>
            </w:r>
            <w:r>
              <w:rPr>
                <w:rStyle w:val="5"/>
                <w:rFonts w:eastAsia="仿宋_GB2312"/>
                <w:lang w:val="en-US" w:eastAsia="zh-CN" w:bidi="ar"/>
              </w:rPr>
              <w:t xml:space="preserve">  </w:t>
            </w:r>
            <w:r>
              <w:rPr>
                <w:rStyle w:val="4"/>
                <w:rFonts w:hAnsi="宋体"/>
                <w:lang w:val="en-US" w:eastAsia="zh-CN" w:bidi="ar"/>
              </w:rPr>
              <w:t>（</w:t>
            </w:r>
            <w:r>
              <w:rPr>
                <w:rStyle w:val="5"/>
                <w:rFonts w:eastAsia="仿宋_GB2312"/>
                <w:lang w:val="en-US" w:eastAsia="zh-CN" w:bidi="ar"/>
              </w:rPr>
              <w:t>45</w:t>
            </w:r>
            <w:r>
              <w:rPr>
                <w:rStyle w:val="4"/>
                <w:rFonts w:hAnsi="宋体"/>
                <w:lang w:val="en-US" w:eastAsia="zh-CN" w:bidi="ar"/>
              </w:rPr>
              <w:t>分）</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销售总额（15分）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销售总额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亿元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6</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该项指标基础分为0分,每增加1000万元加0.1分，得分超过6分，按6分计算。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5亿元为满分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85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销售总额增长率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该项指标等于系统平均值，计4分；大于平均值，每多1个百分点加0.2分，得分超过7分，按7分计算；小于平均值，每少1个百分点减0.2分，扣完为止。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90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县及县以下销售总额占比</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该项指标等于全系统平均值，计1分；大于平均值，每多1个百分点加0.02分，得分超过2分，按2分计算；小于平均值，每少1个百分点减0.02分，扣完为止。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±50%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136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利润总额（13分）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利润总额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569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当该项指标为正时,基础分为0分,每增加100万元,加0.25分，得分超过5分按5分计算。当该项指标为负时,得分为0分。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162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利润总额增长率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569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当利润总额为正时,该项指标等于全系统平均值，计4分；大于平均值，每多1个百分点加0.2分，得分超过8分，按8分计算；小于平均值，每少1个百分点减0.2分，扣完为止。当年实现扭亏为盈，计3分。当利润总额为负时,当年实现减亏的，计1分；当年持续增亏，计0分。</w:t>
            </w:r>
          </w:p>
        </w:tc>
        <w:tc>
          <w:tcPr>
            <w:tcW w:w="973"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79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资产总额增长率（</w:t>
            </w:r>
            <w:r>
              <w:rPr>
                <w:rStyle w:val="10"/>
                <w:rFonts w:eastAsia="仿宋_GB2312"/>
                <w:lang w:val="en-US" w:eastAsia="zh-CN" w:bidi="ar"/>
              </w:rPr>
              <w:t>6</w:t>
            </w:r>
            <w:r>
              <w:rPr>
                <w:rStyle w:val="9"/>
                <w:rFonts w:hAnsi="宋体"/>
                <w:lang w:val="en-US" w:eastAsia="zh-CN" w:bidi="ar"/>
              </w:rPr>
              <w:t>分）</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该项指标等于全系统平均值，计3分；大于平均值，每多1个百分点加0.3分，得分超过6分，按6分计算；小于平均值，每少1个百分点减0.3分，扣完为止。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91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053"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所有者权益（</w:t>
            </w:r>
            <w:r>
              <w:rPr>
                <w:rStyle w:val="10"/>
                <w:rFonts w:eastAsia="仿宋_GB2312"/>
                <w:lang w:val="en-US" w:eastAsia="zh-CN" w:bidi="ar"/>
              </w:rPr>
              <w:t>11</w:t>
            </w:r>
            <w:r>
              <w:rPr>
                <w:rStyle w:val="9"/>
                <w:rFonts w:hAnsi="宋体"/>
                <w:lang w:val="en-US" w:eastAsia="zh-CN" w:bidi="ar"/>
              </w:rPr>
              <w:t>分）</w:t>
            </w: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所有者权益</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当该项指标为正时,基础分为0分,每增加1000万元,加0.1分，得分超过4分按4分计算；当该项指标为负时,得分为0分。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4亿元为满分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100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所有者权益增长率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该项指标等于全系统平均值，计3.5分；大于平均值，每多1个百分点加0.2分，得分超过7分，按7分计算；小于平均值，每少1个百分点减0.2分，扣完为止。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±17.5%</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660"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Style w:val="4"/>
                <w:rFonts w:hAnsi="宋体"/>
                <w:lang w:val="en-US" w:eastAsia="zh-CN" w:bidi="ar"/>
              </w:rPr>
              <w:t>服务体系建设指标（</w:t>
            </w:r>
            <w:r>
              <w:rPr>
                <w:rStyle w:val="5"/>
                <w:rFonts w:eastAsia="仿宋_GB2312"/>
                <w:lang w:val="en-US" w:eastAsia="zh-CN" w:bidi="ar"/>
              </w:rPr>
              <w:t>40</w:t>
            </w:r>
            <w:r>
              <w:rPr>
                <w:rStyle w:val="4"/>
                <w:rFonts w:hAnsi="宋体"/>
                <w:lang w:val="en-US" w:eastAsia="zh-CN" w:bidi="ar"/>
              </w:rPr>
              <w:t>分）</w:t>
            </w:r>
          </w:p>
        </w:tc>
        <w:tc>
          <w:tcPr>
            <w:tcW w:w="36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053" w:type="dxa"/>
            <w:vMerge w:val="restart"/>
            <w:tcBorders>
              <w:top w:val="single" w:color="000000" w:sz="4" w:space="0"/>
              <w:left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农业生产服务（8分）</w:t>
            </w: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土地托管面积</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亩</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该项指标基础分为0分，每增加1000亩加0.06分，超过3分，按3分计算。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5万亩为满分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3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统防统治、配方施肥、农机服务面积</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亩</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该项指标基础分为0分，每增加1000亩加0.02分，超过2分，按2分计算。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5万亩为满分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02"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庄稼医院数量</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该项指标基础分为0分，每增加1个加0.025分，得分超过1分，按1分计算。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40个为满分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left w:val="single" w:color="000000" w:sz="4" w:space="0"/>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农业生产服务中心数量</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该项指标基础分为0分，每增加1个加0.025分，得分超过1分，按1分计算。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40个为满分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农业生产服务收入额增长率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该项指标等于全系统平均值，计0.5分；大于平均值，每多1个百分点加0.02分，得分超过1分，按1分计算；小于平均值，每少1个百分点减0.02分，扣完为止。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1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农产品流通服务（9分）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农副产品购进总额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该项指标基础分为0分,每增加1000万元加0.04分，得分超过2分，按2分计算。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5亿元为满分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7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农副产品购进总额增长率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该项指标等于全系统平均值，计2分；大于平均值，每多1个百分点加0.05分，得分超过4分，按4分计算；小于平均值，每少1个百分点减0.05分，扣完为止。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8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农产品市场交易额增长率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该项指标等于全系统平均值，计1.5分；大于平均值，每多1个百分点加0.05分，得分超过3分，按3分计算；小于平均值，每少1个百分点减0.05分，扣完为止。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9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农村连锁经营网络建设（6分）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连锁销售额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该项指标基础分为0分,每增加1000万元加0.3分，得分超过3分，按3分计算。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1亿元为满分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1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连锁销售额增长率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该项指标等于全系统平均值，计1.5分；大于平均值，每多1个百分点加0.1分，得分超过3分，按3分计算；小于平均值，每少1个百分点减0.1分，扣完为止。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3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再生资源回收（</w:t>
            </w:r>
            <w:r>
              <w:rPr>
                <w:rStyle w:val="10"/>
                <w:rFonts w:eastAsia="仿宋_GB2312"/>
                <w:lang w:val="en-US" w:eastAsia="zh-CN" w:bidi="ar"/>
              </w:rPr>
              <w:t>4</w:t>
            </w:r>
            <w:r>
              <w:rPr>
                <w:rStyle w:val="9"/>
                <w:rFonts w:hAnsi="宋体"/>
                <w:lang w:val="en-US" w:eastAsia="zh-CN" w:bidi="ar"/>
              </w:rPr>
              <w:t>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再生资源回收额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该项指标基础分为0分,每增加1万元加0.004分，得分超过2分，按2分计算。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02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再生资源回收额增长率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该项指标等于全系统平均值，计1分；大于平均值，每多1个百分点加0.02分，得分超过2分，按2分计算；小于平均值，每少1个百分点减0.02分，扣完为止。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4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电子商务（7分）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电子商务销售额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该项指标基础分为0分,每增加1万元加0.004分，得分超过4分，按4分计算。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4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电子商务销售额增长率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该指标等于全系统平均值，计1分；大于平均值，每多1个百分点加0.01分，得分超过2分，按2分计算；小于平均值，每少1个百分点减0.01分，扣完为止。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1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农产品电子商务销售额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该项指标基础分为0分，每增加1万元，加0.00125分，得分超过1分，按1分计算。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9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城乡社区综合服务（</w:t>
            </w:r>
            <w:r>
              <w:rPr>
                <w:rStyle w:val="10"/>
                <w:rFonts w:eastAsia="仿宋_GB2312"/>
                <w:lang w:val="en-US" w:eastAsia="zh-CN" w:bidi="ar"/>
              </w:rPr>
              <w:t>6</w:t>
            </w:r>
            <w:r>
              <w:rPr>
                <w:rStyle w:val="9"/>
                <w:rFonts w:hAnsi="宋体"/>
                <w:lang w:val="en-US" w:eastAsia="zh-CN" w:bidi="ar"/>
              </w:rPr>
              <w:t>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农村综合服务社村级覆盖率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基础分为0分,每增加1%加0.03分，100%为满分。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12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农村综合服务社个数增长率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该指标得分=第一部分得分+第二部分得分。第一部分得分=农村综合服务社村级覆盖率*2。第二部分得分计分办法如下：增长率每增加1个百分点，增加0.02分。得分超过2分，按2分计算。实现村级全覆盖的，得满分。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居民生活服务营业额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该项指标基础分为0分，每增加1万元加0.0025分，得分超过1分，按1分计算。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农村合作金融服务（</w:t>
            </w:r>
            <w:r>
              <w:rPr>
                <w:rStyle w:val="10"/>
                <w:rFonts w:eastAsia="仿宋_GB2312"/>
                <w:lang w:val="en-US" w:eastAsia="zh-CN" w:bidi="ar"/>
              </w:rPr>
              <w:t>2</w:t>
            </w:r>
            <w:r>
              <w:rPr>
                <w:rStyle w:val="9"/>
                <w:rFonts w:hAnsi="宋体"/>
                <w:lang w:val="en-US" w:eastAsia="zh-CN" w:bidi="ar"/>
              </w:rPr>
              <w:t>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金融服务额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该项指标基础分为0分，每增加1万元，加0.001分，得分超过1分，按1分计算。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00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领办的农民合作社内部开展资金互助金额</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基础分为0分,每增加1万元加0.01分，超过1分，按1分计算。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100万元为满分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15"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Style w:val="5"/>
                <w:rFonts w:eastAsia="仿宋_GB2312"/>
                <w:lang w:val="en-US" w:eastAsia="zh-CN" w:bidi="ar"/>
              </w:rPr>
              <w:t xml:space="preserve">     </w:t>
            </w:r>
            <w:r>
              <w:rPr>
                <w:rStyle w:val="4"/>
                <w:rFonts w:hAnsi="宋体"/>
                <w:lang w:val="en-US" w:eastAsia="zh-CN" w:bidi="ar"/>
              </w:rPr>
              <w:t>组织体系建设指标（</w:t>
            </w:r>
            <w:r>
              <w:rPr>
                <w:rStyle w:val="5"/>
                <w:rFonts w:eastAsia="仿宋_GB2312"/>
                <w:lang w:val="en-US" w:eastAsia="zh-CN" w:bidi="ar"/>
              </w:rPr>
              <w:t>33</w:t>
            </w:r>
            <w:r>
              <w:rPr>
                <w:rStyle w:val="4"/>
                <w:rFonts w:hAnsi="宋体"/>
                <w:lang w:val="en-US" w:eastAsia="zh-CN" w:bidi="ar"/>
              </w:rPr>
              <w:t>分）</w:t>
            </w:r>
          </w:p>
        </w:tc>
        <w:tc>
          <w:tcPr>
            <w:tcW w:w="36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053"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基层社（15分）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基层社营业收入增长率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该指标等于全系统平均值，计1分；大于平均值，每多1个百分点加0.05分，得分超过2分，按2分计算；小于平均值，每少1个百分点减0.05分，扣完为止。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6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基层社资产总额增长率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该指标等于全系统平均值，计0.5分；大于平均值，每多1个百分点加0.02分，得分超过1分，按1分计算；小于平均值，每少1个百分点减0.02分，扣完为止。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1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基层社利润总额增长率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该指标等于全系统平均值，计0.5分；大于平均值，每多1个百分点加0.02分，得分超过1分，按1分计算；小于平均值，每少1个百分点减0.02分，扣完为止。</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3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基层社乡镇覆盖率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基础分为0分,每增加1%加0.03分，100%为满分。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9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基层社个数增长率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该指标得分=第一部分得分+第二部分得分。第一部分得分=基层社乡镇覆盖率*2。第二部分得分计分办法如下：每增加1个百分点，增加0.01分。得分超过3分，按3分计算。实现乡镇全覆盖的，得满分。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9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基层社标杆社个数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证明材料</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各市基层社标杆社个数/基层社个数的比重等于全系统平均值时，计0.5分,每增加0.3个百分点加0.1分，超过1分按照1分计算。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5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基层社农民社员数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基础分为0分，每增加1人加0.001分。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1000人为满分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0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实行自营的基层社比例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基础分为0分,每增加1%加0.02分，100%为满分。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r>
              <w:rPr>
                <w:rFonts w:hint="eastAsia" w:ascii="仿宋_GB2312" w:hAnsi="仿宋_GB2312" w:eastAsia="仿宋_GB2312" w:cs="仿宋_GB2312"/>
                <w:i w:val="0"/>
                <w:color w:val="000000"/>
                <w:kern w:val="0"/>
                <w:sz w:val="16"/>
                <w:szCs w:val="16"/>
                <w:u w:val="none"/>
                <w:lang w:val="en-US" w:eastAsia="zh-CN" w:bidi="ar"/>
              </w:rPr>
              <w:t>统计指标</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6"/>
                <w:szCs w:val="16"/>
                <w:u w:val="none"/>
              </w:rPr>
            </w:pPr>
          </w:p>
        </w:tc>
      </w:tr>
      <w:tr>
        <w:tblPrEx>
          <w:tblLayout w:type="fixed"/>
          <w:tblCellMar>
            <w:top w:w="0" w:type="dxa"/>
            <w:left w:w="0" w:type="dxa"/>
            <w:bottom w:w="0" w:type="dxa"/>
            <w:right w:w="0" w:type="dxa"/>
          </w:tblCellMar>
        </w:tblPrEx>
        <w:trPr>
          <w:trHeight w:val="58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农民合作社（6分）</w:t>
            </w: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国家示范社和总社评定的示范社个数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该项指标基础分为0分,每增加1个加0.2分，得分超过2分，按2分计算。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10个为满分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64"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供销合作社参股的农民合作社</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该指标得分=2*参股的合作社个数/农民专业合作社个数</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69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农民合作社联合社</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该项指标基础分为0分,每增加1个加0.4分，得分超过2分，按2分计算。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5个为满分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供销社联合社（10分）</w:t>
            </w:r>
          </w:p>
        </w:tc>
        <w:tc>
          <w:tcPr>
            <w:tcW w:w="1906"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市、县级联合社监事会设置比例</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调查数据</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市级联合社监事会设置比例满分为1.5分，每1个百分点加0.015分。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1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县级联合社监事会设置比例满分为1.5分，每1个百分点加0.015分。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5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市级社设立合作发展基金</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11"/>
                <w:rFonts w:hAnsi="宋体"/>
                <w:lang w:val="en-US" w:eastAsia="zh-CN" w:bidi="ar"/>
              </w:rPr>
              <w:t>是</w:t>
            </w:r>
            <w:r>
              <w:rPr>
                <w:rStyle w:val="12"/>
                <w:rFonts w:eastAsia="仿宋_GB2312"/>
                <w:lang w:val="en-US" w:eastAsia="zh-CN" w:bidi="ar"/>
              </w:rPr>
              <w:t>/</w:t>
            </w:r>
            <w:r>
              <w:rPr>
                <w:rStyle w:val="11"/>
                <w:rFonts w:hAnsi="宋体"/>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设立得1分，未设立不得分。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736"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省级社当年社有资产收益是否按不低于20%的比例注入本级合作发展基金</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Style w:val="11"/>
                <w:rFonts w:hAnsi="宋体"/>
                <w:lang w:val="en-US" w:eastAsia="zh-CN" w:bidi="ar"/>
              </w:rPr>
            </w:pPr>
            <w:r>
              <w:rPr>
                <w:rStyle w:val="11"/>
                <w:rFonts w:hAnsi="宋体"/>
                <w:lang w:val="en-US" w:eastAsia="zh-CN" w:bidi="ar"/>
              </w:rPr>
              <w:t>是</w:t>
            </w:r>
            <w:r>
              <w:rPr>
                <w:rStyle w:val="12"/>
                <w:rFonts w:eastAsia="仿宋_GB2312"/>
                <w:lang w:val="en-US" w:eastAsia="zh-CN" w:bidi="ar"/>
              </w:rPr>
              <w:t>/</w:t>
            </w:r>
            <w:r>
              <w:rPr>
                <w:rStyle w:val="11"/>
                <w:rFonts w:hAnsi="宋体"/>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有文件证明得1分，没有不得分。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2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市级社成立社有资产管理委员会</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11"/>
                <w:rFonts w:hAnsi="宋体"/>
                <w:lang w:val="en-US" w:eastAsia="zh-CN" w:bidi="ar"/>
              </w:rPr>
              <w:t>是</w:t>
            </w:r>
            <w:r>
              <w:rPr>
                <w:rStyle w:val="12"/>
                <w:rFonts w:eastAsia="仿宋_GB2312"/>
                <w:lang w:val="en-US" w:eastAsia="zh-CN" w:bidi="ar"/>
              </w:rPr>
              <w:t>/</w:t>
            </w:r>
            <w:r>
              <w:rPr>
                <w:rStyle w:val="11"/>
                <w:rFonts w:hAnsi="宋体"/>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成立得1分，未成立不得分。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69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协会个数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该项指标基础分为0分,每增加1个加0.2分，得分超过1分，按1分计算。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5个满分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64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协会户均会员数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该项指标基础分为0分,每增加1个加0.0025分，得分超过1分，按1分计算。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400个满分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3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10"/>
                <w:rFonts w:eastAsia="宋体"/>
                <w:lang w:val="en-US" w:eastAsia="zh-CN" w:bidi="ar"/>
              </w:rPr>
              <w:t>A</w:t>
            </w:r>
            <w:r>
              <w:rPr>
                <w:rStyle w:val="9"/>
                <w:rFonts w:hAnsi="Times New Roman"/>
                <w:lang w:val="en-US" w:eastAsia="zh-CN" w:bidi="ar"/>
              </w:rPr>
              <w:t>级以上等级协会个数</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个</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该项指标基础分为0分,每增加1个加1分，得分超过1分，按1分计算。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1个满分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20"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市、县级社牵头成立农村合作经济组织联合会的比例</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统计指标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市级社牵头成立农村合作经济组织联合会基础分为0分，每增加1个百分点计0.005分，全部设立得满分为0.5分。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9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190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县级社牵头成立农村合作经济组织联合会基础分为0分，每增加1个百分点计0.005分，全部设立得满分为0.5分。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57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社有企业发展指标（20分）</w:t>
            </w: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Style w:val="9"/>
                <w:rFonts w:hAnsi="宋体"/>
                <w:lang w:val="en-US" w:eastAsia="zh-CN" w:bidi="ar"/>
              </w:rPr>
              <w:t>净资产收益率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该项指标基础分为0分,每增加1个百分点加0.4分，得分超过7分，按7分计算。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17.5%为满分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945" w:hRule="atLeast"/>
        </w:trPr>
        <w:tc>
          <w:tcPr>
            <w:tcW w:w="573" w:type="dxa"/>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销售净利率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该项指标基础分为0分,每增加1个百分点加1分，得分超过4分，按4分计算。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915" w:hRule="atLeast"/>
        </w:trPr>
        <w:tc>
          <w:tcPr>
            <w:tcW w:w="573" w:type="dxa"/>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总资产周转率</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次</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该项指标基础分为0分，每增加1次加2分，得分超过4分，按4分计算。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2次为满分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供销集团、省社属企业参考此评分规则</w:t>
            </w:r>
          </w:p>
        </w:tc>
      </w:tr>
      <w:tr>
        <w:tblPrEx>
          <w:tblLayout w:type="fixed"/>
          <w:tblCellMar>
            <w:top w:w="0" w:type="dxa"/>
            <w:left w:w="0" w:type="dxa"/>
            <w:bottom w:w="0" w:type="dxa"/>
            <w:right w:w="0" w:type="dxa"/>
          </w:tblCellMar>
        </w:tblPrEx>
        <w:trPr>
          <w:trHeight w:val="915" w:hRule="atLeast"/>
        </w:trPr>
        <w:tc>
          <w:tcPr>
            <w:tcW w:w="573" w:type="dxa"/>
            <w:vMerge w:val="continue"/>
            <w:tcBorders>
              <w:left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供销合作社全资、控股企业利润占利润总额比重</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3</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该项指标基础分为0分,每增加1个百分点加0.1分，得分超过3分，按3分计算。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915" w:hRule="atLeast"/>
        </w:trPr>
        <w:tc>
          <w:tcPr>
            <w:tcW w:w="57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19</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供销合作社全资、控股企业利润总额增长率（2分）</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20" w:lineRule="exact"/>
              <w:jc w:val="center"/>
              <w:rPr>
                <w:rFonts w:hint="eastAsia" w:ascii="仿宋_GB2312" w:hAnsi="宋体" w:eastAsia="仿宋_GB2312" w:cs="仿宋_GB2312"/>
                <w:i w:val="0"/>
                <w:color w:val="000000"/>
                <w:kern w:val="0"/>
                <w:sz w:val="22"/>
                <w:szCs w:val="22"/>
                <w:u w:val="none"/>
                <w:lang w:val="en-US" w:eastAsia="zh-CN" w:bidi="ar"/>
              </w:rPr>
            </w:pPr>
            <w:r>
              <w:rPr>
                <w:rFonts w:ascii="Times New Roman" w:hAnsi="Times New Roman" w:eastAsia="方正仿宋简体"/>
                <w:color w:val="000000"/>
                <w:kern w:val="0"/>
                <w:sz w:val="22"/>
              </w:rPr>
              <w:t>财务指标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20" w:lineRule="exact"/>
              <w:jc w:val="center"/>
              <w:rPr>
                <w:rFonts w:hint="default" w:ascii="Times New Roman" w:hAnsi="Times New Roman" w:eastAsia="宋体" w:cs="Times New Roman"/>
                <w:i w:val="0"/>
                <w:color w:val="000000"/>
                <w:kern w:val="0"/>
                <w:sz w:val="22"/>
                <w:szCs w:val="22"/>
                <w:u w:val="none"/>
                <w:lang w:val="en-US" w:eastAsia="zh-CN" w:bidi="ar"/>
              </w:rPr>
            </w:pPr>
            <w:r>
              <w:rPr>
                <w:rFonts w:ascii="Times New Roman" w:hAnsi="Times New Roman" w:eastAsia="方正仿宋简体"/>
                <w:color w:val="000000"/>
                <w:kern w:val="0"/>
                <w:sz w:val="22"/>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20" w:lineRule="exact"/>
              <w:jc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方正仿宋简体"/>
                <w:color w:val="000000"/>
                <w:kern w:val="0"/>
                <w:sz w:val="22"/>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项指标基础分为0分,每增加1个百分点加0.1分，得分超过2分，按2分计算。</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50%为满分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885" w:hRule="atLeast"/>
        </w:trPr>
        <w:tc>
          <w:tcPr>
            <w:tcW w:w="5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Style w:val="4"/>
                <w:rFonts w:hAnsi="宋体"/>
                <w:lang w:val="en-US" w:eastAsia="zh-CN" w:bidi="ar"/>
              </w:rPr>
              <w:t>加强领导和推动落实指标（</w:t>
            </w:r>
            <w:r>
              <w:rPr>
                <w:rStyle w:val="5"/>
                <w:rFonts w:hint="eastAsia" w:eastAsia="仿宋_GB2312"/>
                <w:lang w:val="en-US" w:eastAsia="zh-CN" w:bidi="ar"/>
              </w:rPr>
              <w:t>8</w:t>
            </w:r>
            <w:r>
              <w:rPr>
                <w:rStyle w:val="4"/>
                <w:rFonts w:hAnsi="宋体"/>
                <w:lang w:val="en-US" w:eastAsia="zh-CN" w:bidi="ar"/>
              </w:rPr>
              <w:t>分）</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20</w:t>
            </w:r>
          </w:p>
        </w:tc>
        <w:tc>
          <w:tcPr>
            <w:tcW w:w="295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市、县党委政府出台贯彻中央11号文件的实施意见的比例</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市级党委政府出台实施意见满分为2分。基础分为0分，每增加1个百分点计0.02分，全部出台为满分。</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100%为满分</w:t>
            </w: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82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9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县级党委政府出台实施意见满分为2分。基础分为0分，每增加1个百分点计0.02分，全部出台为满分。</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42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eastAsia" w:ascii="Times New Roman" w:hAnsi="Times New Roman" w:eastAsia="宋体" w:cs="Times New Roman"/>
                <w:i w:val="0"/>
                <w:color w:val="000000"/>
                <w:kern w:val="0"/>
                <w:sz w:val="22"/>
                <w:szCs w:val="22"/>
                <w:u w:val="none"/>
                <w:lang w:val="en-US" w:eastAsia="zh-CN" w:bidi="ar"/>
              </w:rPr>
              <w:t>1</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将供销合作社综合改革列入市级党委、政府考核督导内容</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5"/>
                <w:lang w:val="en-US" w:eastAsia="zh-CN" w:bidi="ar"/>
              </w:rPr>
              <w:t>是</w:t>
            </w:r>
            <w:r>
              <w:rPr>
                <w:rStyle w:val="12"/>
                <w:rFonts w:eastAsia="宋体"/>
                <w:lang w:val="en-US" w:eastAsia="zh-CN" w:bidi="ar"/>
              </w:rPr>
              <w:t>/</w:t>
            </w:r>
            <w:r>
              <w:rPr>
                <w:rStyle w:val="15"/>
                <w:lang w:val="en-US" w:eastAsia="zh-CN" w:bidi="ar"/>
              </w:rPr>
              <w:t>否</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eastAsia="宋体" w:cs="Times New Roman"/>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列入得1分，未列入不得分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16"/>
                <w:szCs w:val="16"/>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558"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eastAsia" w:ascii="Times New Roman" w:hAnsi="Times New Roman" w:eastAsia="宋体" w:cs="Times New Roman"/>
                <w:i w:val="0"/>
                <w:color w:val="000000"/>
                <w:kern w:val="0"/>
                <w:sz w:val="22"/>
                <w:szCs w:val="22"/>
                <w:u w:val="none"/>
                <w:lang w:val="en-US" w:eastAsia="zh-CN" w:bidi="ar"/>
              </w:rPr>
              <w:t>2</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2015年以来争取市级人民政府就化解财务挂账作出具体部署或与银行达成包括化解方案在内的协议情况</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由文件证明得1分，没有不得分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116"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eastAsia" w:ascii="Times New Roman" w:hAnsi="Times New Roman" w:eastAsia="宋体" w:cs="Times New Roman"/>
                <w:i w:val="0"/>
                <w:color w:val="000000"/>
                <w:kern w:val="0"/>
                <w:sz w:val="22"/>
                <w:szCs w:val="22"/>
                <w:u w:val="none"/>
                <w:lang w:val="en-US" w:eastAsia="zh-CN" w:bidi="ar"/>
              </w:rPr>
              <w:t>3</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供销合作社农业社会化服务惠农工程实施情况（2分）</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2</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由文件证明得2</w:t>
            </w:r>
            <w:bookmarkStart w:id="0" w:name="_GoBack"/>
            <w:bookmarkEnd w:id="0"/>
            <w:r>
              <w:rPr>
                <w:rFonts w:hint="eastAsia" w:ascii="仿宋_GB2312" w:hAnsi="仿宋_GB2312" w:eastAsia="仿宋_GB2312" w:cs="仿宋_GB2312"/>
                <w:i w:val="0"/>
                <w:color w:val="000000"/>
                <w:kern w:val="0"/>
                <w:sz w:val="22"/>
                <w:szCs w:val="22"/>
                <w:u w:val="none"/>
                <w:lang w:val="en-US" w:eastAsia="zh-CN" w:bidi="ar"/>
              </w:rPr>
              <w:t>分，没有不得分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1656"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供销合作社承担农业生产社会化服务任务量是否达到当地总任务量的15%（1分）</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文件证明</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由文件证明得1分，没有不得分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r>
        <w:tblPrEx>
          <w:tblLayout w:type="fixed"/>
          <w:tblCellMar>
            <w:top w:w="0" w:type="dxa"/>
            <w:left w:w="0" w:type="dxa"/>
            <w:bottom w:w="0" w:type="dxa"/>
            <w:right w:w="0" w:type="dxa"/>
          </w:tblCellMar>
        </w:tblPrEx>
        <w:trPr>
          <w:trHeight w:val="735" w:hRule="atLeast"/>
        </w:trPr>
        <w:tc>
          <w:tcPr>
            <w:tcW w:w="5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仿宋_GB2312" w:hAnsi="宋体" w:eastAsia="仿宋_GB2312" w:cs="仿宋_GB2312"/>
                <w:b/>
                <w:i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省社《信息》采用情况</w:t>
            </w:r>
          </w:p>
        </w:tc>
        <w:tc>
          <w:tcPr>
            <w:tcW w:w="12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省社办公室</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1</w:t>
            </w:r>
          </w:p>
        </w:tc>
        <w:tc>
          <w:tcPr>
            <w:tcW w:w="56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根据采用情况打分。</w:t>
            </w: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仿宋_GB2312" w:hAnsi="仿宋_GB2312" w:eastAsia="仿宋_GB2312" w:cs="仿宋_GB2312"/>
                <w:i w:val="0"/>
                <w:color w:val="000000"/>
                <w:sz w:val="20"/>
                <w:szCs w:val="20"/>
                <w:u w:val="none"/>
              </w:rPr>
            </w:pPr>
          </w:p>
        </w:tc>
      </w:tr>
    </w:tbl>
    <w:p>
      <w:pPr>
        <w:jc w:val="both"/>
        <w:rPr>
          <w:rFonts w:hint="eastAsia" w:ascii="方正小标宋_GBK" w:hAnsi="方正小标宋_GBK" w:eastAsia="方正小标宋_GBK" w:cs="方正小标宋_GBK"/>
          <w:sz w:val="44"/>
          <w:szCs w:val="44"/>
        </w:rPr>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硬笔楷书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31E38"/>
    <w:rsid w:val="04E66D6D"/>
    <w:rsid w:val="0FFA411B"/>
    <w:rsid w:val="58FC29BC"/>
    <w:rsid w:val="67631E38"/>
    <w:rsid w:val="6E4637A0"/>
    <w:rsid w:val="7EC00A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8"/>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2"/>
    <w:qFormat/>
    <w:uiPriority w:val="0"/>
    <w:rPr>
      <w:rFonts w:hint="eastAsia" w:ascii="仿宋_GB2312" w:eastAsia="仿宋_GB2312" w:cs="仿宋_GB2312"/>
      <w:b/>
      <w:color w:val="000000"/>
      <w:sz w:val="22"/>
      <w:szCs w:val="22"/>
      <w:u w:val="none"/>
    </w:rPr>
  </w:style>
  <w:style w:type="character" w:customStyle="1" w:styleId="5">
    <w:name w:val="font91"/>
    <w:basedOn w:val="2"/>
    <w:uiPriority w:val="0"/>
    <w:rPr>
      <w:rFonts w:hint="default" w:ascii="Times New Roman" w:hAnsi="Times New Roman" w:cs="Times New Roman"/>
      <w:b/>
      <w:color w:val="000000"/>
      <w:sz w:val="22"/>
      <w:szCs w:val="22"/>
      <w:u w:val="none"/>
    </w:rPr>
  </w:style>
  <w:style w:type="character" w:customStyle="1" w:styleId="6">
    <w:name w:val="font41"/>
    <w:basedOn w:val="2"/>
    <w:uiPriority w:val="0"/>
    <w:rPr>
      <w:rFonts w:hint="eastAsia" w:ascii="宋体" w:hAnsi="宋体" w:eastAsia="宋体" w:cs="宋体"/>
      <w:color w:val="000000"/>
      <w:sz w:val="20"/>
      <w:szCs w:val="20"/>
      <w:u w:val="none"/>
    </w:rPr>
  </w:style>
  <w:style w:type="character" w:customStyle="1" w:styleId="7">
    <w:name w:val="font21"/>
    <w:basedOn w:val="2"/>
    <w:uiPriority w:val="0"/>
    <w:rPr>
      <w:rFonts w:hint="default" w:ascii="Times New Roman" w:hAnsi="Times New Roman" w:cs="Times New Roman"/>
      <w:color w:val="000000"/>
      <w:sz w:val="20"/>
      <w:szCs w:val="20"/>
      <w:u w:val="none"/>
    </w:rPr>
  </w:style>
  <w:style w:type="character" w:customStyle="1" w:styleId="8">
    <w:name w:val="font161"/>
    <w:basedOn w:val="2"/>
    <w:uiPriority w:val="0"/>
    <w:rPr>
      <w:rFonts w:hint="eastAsia" w:ascii="宋体" w:hAnsi="宋体" w:eastAsia="宋体" w:cs="宋体"/>
      <w:color w:val="000000"/>
      <w:sz w:val="20"/>
      <w:szCs w:val="20"/>
      <w:u w:val="none"/>
    </w:rPr>
  </w:style>
  <w:style w:type="character" w:customStyle="1" w:styleId="9">
    <w:name w:val="font141"/>
    <w:basedOn w:val="2"/>
    <w:qFormat/>
    <w:uiPriority w:val="0"/>
    <w:rPr>
      <w:rFonts w:hint="eastAsia" w:ascii="仿宋_GB2312" w:eastAsia="仿宋_GB2312" w:cs="仿宋_GB2312"/>
      <w:color w:val="000000"/>
      <w:sz w:val="22"/>
      <w:szCs w:val="22"/>
      <w:u w:val="none"/>
    </w:rPr>
  </w:style>
  <w:style w:type="character" w:customStyle="1" w:styleId="10">
    <w:name w:val="font61"/>
    <w:basedOn w:val="2"/>
    <w:uiPriority w:val="0"/>
    <w:rPr>
      <w:rFonts w:hint="default" w:ascii="Times New Roman" w:hAnsi="Times New Roman" w:cs="Times New Roman"/>
      <w:color w:val="000000"/>
      <w:sz w:val="22"/>
      <w:szCs w:val="22"/>
      <w:u w:val="none"/>
    </w:rPr>
  </w:style>
  <w:style w:type="character" w:customStyle="1" w:styleId="11">
    <w:name w:val="font151"/>
    <w:basedOn w:val="2"/>
    <w:qFormat/>
    <w:uiPriority w:val="0"/>
    <w:rPr>
      <w:rFonts w:hint="eastAsia" w:ascii="仿宋_GB2312" w:eastAsia="仿宋_GB2312" w:cs="仿宋_GB2312"/>
      <w:color w:val="000000"/>
      <w:sz w:val="22"/>
      <w:szCs w:val="22"/>
      <w:u w:val="none"/>
    </w:rPr>
  </w:style>
  <w:style w:type="character" w:customStyle="1" w:styleId="12">
    <w:name w:val="font131"/>
    <w:basedOn w:val="2"/>
    <w:qFormat/>
    <w:uiPriority w:val="0"/>
    <w:rPr>
      <w:rFonts w:hint="default" w:ascii="Times New Roman" w:hAnsi="Times New Roman" w:cs="Times New Roman"/>
      <w:color w:val="000000"/>
      <w:sz w:val="22"/>
      <w:szCs w:val="22"/>
      <w:u w:val="none"/>
    </w:rPr>
  </w:style>
  <w:style w:type="character" w:customStyle="1" w:styleId="13">
    <w:name w:val="font71"/>
    <w:basedOn w:val="2"/>
    <w:qFormat/>
    <w:uiPriority w:val="0"/>
    <w:rPr>
      <w:rFonts w:hint="eastAsia" w:ascii="仿宋_GB2312" w:eastAsia="仿宋_GB2312" w:cs="仿宋_GB2312"/>
      <w:b/>
      <w:color w:val="000000"/>
      <w:sz w:val="22"/>
      <w:szCs w:val="22"/>
      <w:u w:val="none"/>
    </w:rPr>
  </w:style>
  <w:style w:type="character" w:customStyle="1" w:styleId="14">
    <w:name w:val="font12"/>
    <w:basedOn w:val="2"/>
    <w:qFormat/>
    <w:uiPriority w:val="0"/>
    <w:rPr>
      <w:rFonts w:hint="default" w:ascii="Times New Roman" w:hAnsi="Times New Roman" w:cs="Times New Roman"/>
      <w:b/>
      <w:color w:val="000000"/>
      <w:sz w:val="22"/>
      <w:szCs w:val="22"/>
      <w:u w:val="none"/>
    </w:rPr>
  </w:style>
  <w:style w:type="character" w:customStyle="1" w:styleId="15">
    <w:name w:val="font8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2019-04-04T02:19:00Z</dcterms:created>
  <dc:creator>炎黄图文广告印刷</dc:creator>
  <cp:lastModifiedBy>刘志毅</cp:lastModifiedBy>
  <cp:lastPrinted>2020-02-25T03:27:00Z</cp:lastPrinted>
  <dcterms:modified xsi:type="dcterms:W3CDTF">2020-03-03T01:15:16Z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